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Read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me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Introductory information</w:t>
      </w:r>
    </w:p>
    <w:p>
      <w:pPr>
        <w:numPr>
          <w:ilvl w:val="1"/>
          <w:numId w:val="1"/>
        </w:numPr>
        <w:jc w:val="left"/>
        <w:rPr>
          <w:rFonts w:hint="default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Data underlying the research of:“Prevention of ulcerative colitis in mice by sweet tea (Lithocarpus litseifolius) via the regulation of gut microbiota and butyric acid-mediated anti-inflammatory signaling"</w:t>
      </w:r>
      <w:r>
        <w:rPr>
          <w:rFonts w:hint="eastAsia" w:ascii="Times New Roman" w:hAnsi="Times New Roman" w:cs="Times New Roman"/>
          <w:lang w:val="en-US" w:eastAsia="zh-CN"/>
        </w:rPr>
        <w:t xml:space="preserve"> mainly includes biochemical indicators and </w:t>
      </w:r>
      <w:r>
        <w:rPr>
          <w:rFonts w:ascii="Times New Roman" w:hAnsi="Times New Roman" w:eastAsia="宋体" w:cs="Times New Roman"/>
          <w:sz w:val="24"/>
        </w:rPr>
        <w:t>gut microbiota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data sets</w:t>
      </w:r>
      <w:r>
        <w:rPr>
          <w:rFonts w:hint="eastAsia" w:ascii="Times New Roman" w:hAnsi="Times New Roman" w:cs="Times New Roman"/>
          <w:lang w:val="en-US" w:eastAsia="zh-CN"/>
        </w:rPr>
        <w:t>(</w:t>
      </w:r>
      <w:r>
        <w:rPr>
          <w:rFonts w:hint="default" w:ascii="Times New Roman" w:hAnsi="Times New Roman" w:cs="Times New Roman"/>
          <w:lang w:val="en-US" w:eastAsia="zh-CN"/>
        </w:rPr>
        <w:t>data</w:t>
      </w:r>
      <w:r>
        <w:rPr>
          <w:rFonts w:hint="eastAsia" w:ascii="Times New Roman" w:hAnsi="Times New Roman" w:cs="Times New Roman"/>
          <w:lang w:val="en-US" w:eastAsia="zh-CN"/>
        </w:rPr>
        <w:t>, xlsx)</w:t>
      </w:r>
      <w:r>
        <w:rPr>
          <w:rFonts w:hint="default" w:ascii="Times New Roman" w:hAnsi="Times New Roman" w:cs="Times New Roman"/>
          <w:lang w:val="en-US" w:eastAsia="zh-CN"/>
        </w:rPr>
        <w:t xml:space="preserve">, such as </w:t>
      </w: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default" w:ascii="Times New Roman" w:hAnsi="Times New Roman" w:cs="Times New Roman"/>
          <w:lang w:val="en-US" w:eastAsia="zh-CN"/>
        </w:rPr>
        <w:t xml:space="preserve">ody weight, 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  <w:lang w:val="en-US" w:eastAsia="zh-CN"/>
        </w:rPr>
        <w:t>olon length, disease activity index, inflammatory factor level, oxidative stress level, short-chain fatty acid content, number of colonic goblet cells, expression levels of intestinal mucosal barrier and inflammatory signaling pathway related proteins, and diversity and composition of intestinal flora. In addition, H&amp;E staining, AB-PAS staining and immunohistochemical staining of mouse colon tissue were also provided.</w:t>
      </w:r>
    </w:p>
    <w:p>
      <w:pPr>
        <w:numPr>
          <w:ilvl w:val="1"/>
          <w:numId w:val="1"/>
        </w:numPr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Contact information</w:t>
      </w:r>
      <w:r>
        <w:rPr>
          <w:rFonts w:hint="eastAsia" w:ascii="Times New Roman" w:hAnsi="Times New Roman" w:cs="Times New Roman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lang w:val="en-US" w:eastAsia="zh-CN"/>
        </w:rPr>
        <w:t>Xiao-Qin He</w:t>
      </w:r>
      <w:r>
        <w:rPr>
          <w:rFonts w:hint="eastAsia" w:ascii="Times New Roman" w:hAnsi="Times New Roman" w:cs="Times New Roman"/>
          <w:lang w:val="en-US" w:eastAsia="zh-CN"/>
        </w:rPr>
        <w:t>, 18883394393@163.com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Methodological information</w:t>
      </w:r>
    </w:p>
    <w:p>
      <w:pPr>
        <w:numPr>
          <w:numId w:val="0"/>
        </w:numPr>
        <w:ind w:leftChars="0"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experiments were conducted in parallel at least three times</w:t>
      </w:r>
      <w:r>
        <w:rPr>
          <w:rFonts w:hint="eastAsia"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and the results were mainly presented as mean ± standard error of the mean (SEM). One-way analysis of variance (ANOVA) plus </w:t>
      </w:r>
      <w:r>
        <w:rPr>
          <w:rFonts w:ascii="Times New Roman" w:hAnsi="Times New Roman" w:cs="Times New Roman"/>
          <w:i/>
          <w:sz w:val="24"/>
        </w:rPr>
        <w:t>post hoc</w:t>
      </w:r>
      <w:r>
        <w:rPr>
          <w:rFonts w:ascii="Times New Roman" w:hAnsi="Times New Roman" w:cs="Times New Roman"/>
          <w:sz w:val="24"/>
        </w:rPr>
        <w:t xml:space="preserve"> Duncan’s multiple tests was used to analyze the data by SPSS 20.0 software (SPSS Inc., Chicago, USA), and statistical significance was defined at </w:t>
      </w:r>
      <w:r>
        <w:rPr>
          <w:rFonts w:ascii="Times New Roman" w:hAnsi="Times New Roman" w:cs="Times New Roman"/>
          <w:i/>
          <w:sz w:val="24"/>
        </w:rPr>
        <w:t>p</w:t>
      </w:r>
      <w:r>
        <w:rPr>
          <w:rFonts w:ascii="Times New Roman" w:hAnsi="Times New Roman" w:cs="Times New Roman"/>
          <w:sz w:val="24"/>
        </w:rPr>
        <w:t>&lt;0.05.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Data specific information</w:t>
      </w:r>
    </w:p>
    <w:p>
      <w:pPr>
        <w:numPr>
          <w:numId w:val="0"/>
        </w:numPr>
        <w:ind w:leftChars="0" w:firstLine="420" w:firstLineChars="20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Abbreviations used</w:t>
      </w:r>
      <w:r>
        <w:rPr>
          <w:rFonts w:hint="eastAsia" w:ascii="Times New Roman" w:hAnsi="Times New Roman" w:cs="Times New Roman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lang w:val="en-US" w:eastAsia="zh-CN"/>
        </w:rPr>
        <w:t>DSS, dextran sulfate sodium; DAI, disease activity index;TNF-α, tumor necrosis factor-α; NF-κB p65, nuclear factor-κB p65; IL-1β, interleukin-1β; IL-6, interleukin-6; SCFAs, short-chain fatty acids; MPO, myeloperoxidase; GSH, glutathione; MDA, malondialdehyde; SOD, superoxide dismutase; TGF-β, transforming growth factor-β; IL-10, interleukin-10; LPS, lipopolysaccharide; ZO-1, zonula occludens-1; GPR43, G protein-coupled receptor 43; GPR109A, G protein-coupled receptor 109A; HDAC3, histone deacetylase 3; NC, normal control group; MC, DSS-induced UC model group; SASP, suffasalarin (100 mg/kg·bw)+DSS group; L-STE, low-dose sweet tea extract (100 mg/kg·bw)+DSS group; H-STE, high dose-sweet tea extract (400 mg/kg·bw)+DSS group; H&amp;E, hematoxylin-eosin; AB-PAS, alcian blue periodic acid schiff; WB, western blot; OTUs, operational taxonomic units; F/B, the Firmicutes/Bacteroidetes ratio.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Data specific information</w:t>
      </w:r>
    </w:p>
    <w:p>
      <w:pPr>
        <w:numPr>
          <w:numId w:val="0"/>
        </w:numPr>
        <w:ind w:leftChars="0" w:firstLine="480" w:firstLineChars="200"/>
        <w:jc w:val="left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Licenses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CC0.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3A1C5"/>
    <w:multiLevelType w:val="multilevel"/>
    <w:tmpl w:val="14D3A1C5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15CAA"/>
    <w:rsid w:val="4CB1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2022-01-26T02:12:00Z</dcterms:created>
  <dc:creator>xx</dc:creator>
  <cp:lastModifiedBy>xx</cp:lastModifiedBy>
  <dcterms:modified xsi:type="dcterms:W3CDTF">2022-01-26T03:04:59Z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0B9E086F367441AEBDA94CF41DE62FED</vt:lpwstr>
  </property>
</Properties>
</file>